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textAlignment w:val="baseline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《化妆品用原料N-乙酰神经氨酸》团体标准</w:t>
      </w:r>
    </w:p>
    <w:p>
      <w:pPr>
        <w:adjustRightInd w:val="0"/>
        <w:jc w:val="center"/>
        <w:textAlignment w:val="baseline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编制说明</w:t>
      </w:r>
    </w:p>
    <w:p>
      <w:pPr>
        <w:pStyle w:val="11"/>
        <w:numPr>
          <w:ilvl w:val="0"/>
          <w:numId w:val="1"/>
        </w:numPr>
        <w:ind w:firstLineChars="0"/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工作简况</w:t>
      </w:r>
    </w:p>
    <w:p>
      <w:pPr>
        <w:pStyle w:val="11"/>
        <w:snapToGrid w:val="0"/>
        <w:ind w:firstLine="0" w:firstLineChars="0"/>
        <w:rPr>
          <w:rFonts w:ascii="仿宋" w:hAnsi="仿宋" w:eastAsia="仿宋" w:cs="仿宋"/>
          <w:snapToGrid w:val="0"/>
          <w:kern w:val="0"/>
          <w:szCs w:val="21"/>
        </w:rPr>
      </w:pPr>
      <w:r>
        <w:rPr>
          <w:rFonts w:hint="eastAsia" w:ascii="仿宋" w:hAnsi="仿宋" w:eastAsia="仿宋" w:cs="仿宋"/>
          <w:snapToGrid w:val="0"/>
          <w:kern w:val="0"/>
          <w:szCs w:val="21"/>
        </w:rPr>
        <w:t>（一）起草单位、起草人</w:t>
      </w:r>
    </w:p>
    <w:p>
      <w:pPr>
        <w:pStyle w:val="11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napToGrid w:val="0"/>
          <w:kern w:val="0"/>
          <w:szCs w:val="21"/>
        </w:rPr>
        <w:t>1.起草单位：</w:t>
      </w:r>
      <w:r>
        <w:rPr>
          <w:rFonts w:hint="eastAsia" w:ascii="仿宋" w:hAnsi="仿宋" w:eastAsia="仿宋" w:cs="仿宋"/>
          <w:szCs w:val="21"/>
        </w:rPr>
        <w:t>武汉中科光谷绿色生物技术有限公司、</w:t>
      </w:r>
      <w:r>
        <w:fldChar w:fldCharType="begin"/>
      </w:r>
      <w:r>
        <w:instrText xml:space="preserve"> HYPERLINK "http://hf.cas.cn/" \t "_blank" </w:instrText>
      </w:r>
      <w:r>
        <w:fldChar w:fldCharType="separate"/>
      </w:r>
      <w:r>
        <w:rPr>
          <w:rFonts w:hint="eastAsia" w:ascii="仿宋" w:hAnsi="仿宋" w:eastAsia="仿宋" w:cs="仿宋"/>
          <w:szCs w:val="21"/>
        </w:rPr>
        <w:t>中国科学院合肥物质科学研究院</w:t>
      </w:r>
      <w:r>
        <w:rPr>
          <w:rFonts w:hint="eastAsia" w:ascii="仿宋" w:hAnsi="仿宋" w:eastAsia="仿宋" w:cs="仿宋"/>
          <w:szCs w:val="21"/>
        </w:rPr>
        <w:fldChar w:fldCharType="end"/>
      </w:r>
      <w:r>
        <w:rPr>
          <w:rFonts w:hint="eastAsia" w:ascii="仿宋" w:hAnsi="仿宋" w:eastAsia="仿宋" w:cs="仿宋"/>
          <w:szCs w:val="21"/>
        </w:rPr>
        <w:t>、</w:t>
      </w:r>
      <w:r>
        <w:rPr>
          <w:rFonts w:hint="eastAsia" w:ascii="仿宋" w:hAnsi="仿宋" w:eastAsia="仿宋" w:cs="仿宋"/>
          <w:bCs/>
        </w:rPr>
        <w:t>伽蓝(集团)股份有限公司、</w:t>
      </w:r>
      <w:r>
        <w:rPr>
          <w:rFonts w:hint="eastAsia" w:ascii="仿宋" w:hAnsi="仿宋" w:eastAsia="仿宋" w:cs="仿宋"/>
        </w:rPr>
        <w:t>珀莱雅</w:t>
      </w:r>
      <w:r>
        <w:rPr>
          <w:rFonts w:hint="eastAsia" w:ascii="仿宋" w:hAnsi="仿宋" w:eastAsia="仿宋" w:cs="仿宋"/>
          <w:szCs w:val="21"/>
        </w:rPr>
        <w:t>化妆品股份有限公司、欧诗漫生物股份有限公司、合肥</w:t>
      </w:r>
      <w:r>
        <w:rPr>
          <w:rFonts w:hint="eastAsia" w:ascii="仿宋" w:hAnsi="仿宋" w:eastAsia="仿宋" w:cs="仿宋"/>
        </w:rPr>
        <w:t>中科华燕</w:t>
      </w:r>
      <w:r>
        <w:rPr>
          <w:rFonts w:hint="eastAsia" w:ascii="仿宋" w:hAnsi="仿宋" w:eastAsia="仿宋" w:cs="仿宋"/>
          <w:szCs w:val="21"/>
        </w:rPr>
        <w:t>生物技术有限公司。</w:t>
      </w:r>
    </w:p>
    <w:p>
      <w:pPr>
        <w:pStyle w:val="11"/>
        <w:snapToGrid w:val="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2.起草人：李翔宇、蒋丽刚、邹岳、徐建明、陈祥松、唐孝鹏、李博玲、吴金勇、孙立洁、袁丽霞、秦优、吴建铭、沈加辉、张丽华。</w:t>
      </w:r>
    </w:p>
    <w:p>
      <w:pPr>
        <w:pStyle w:val="11"/>
        <w:snapToGrid w:val="0"/>
        <w:ind w:firstLine="0" w:firstLineChars="0"/>
        <w:rPr>
          <w:rFonts w:ascii="仿宋" w:hAnsi="仿宋" w:eastAsia="仿宋" w:cs="仿宋"/>
          <w:snapToGrid w:val="0"/>
          <w:kern w:val="0"/>
          <w:szCs w:val="21"/>
        </w:rPr>
      </w:pPr>
      <w:r>
        <w:rPr>
          <w:rFonts w:hint="eastAsia" w:ascii="仿宋" w:hAnsi="仿宋" w:eastAsia="仿宋" w:cs="仿宋"/>
          <w:snapToGrid w:val="0"/>
          <w:kern w:val="0"/>
          <w:szCs w:val="21"/>
        </w:rPr>
        <w:t>（二）简要起草过程。</w:t>
      </w:r>
    </w:p>
    <w:p>
      <w:pPr>
        <w:pStyle w:val="11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武汉中科光谷绿色生物技术有限公司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于2021年向中国香料香精化妆品工业协会提交</w:t>
      </w:r>
      <w:r>
        <w:rPr>
          <w:rFonts w:hint="eastAsia" w:ascii="仿宋" w:hAnsi="仿宋" w:eastAsia="仿宋" w:cs="仿宋"/>
          <w:szCs w:val="21"/>
        </w:rPr>
        <w:t>《化妆品用原料 N-乙酰神经氨酸》团体标准的立项申请书。按照中国香料香精化妆品工业协会相关文件要求和程序，《化妆品用原料 N-乙酰神经氨酸》列为2021年团体标准制定计划。本标准由武汉中科光谷绿色生物技术有限公司主持起草。</w:t>
      </w:r>
    </w:p>
    <w:p>
      <w:pPr>
        <w:pStyle w:val="11"/>
        <w:snapToGrid w:val="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本标准起草过程，对样品进行了充分的试验和验证。对产品的检验结果表明，其感官要求、理化指标、微生物及有害物质指标均达到或高于标准要求。</w:t>
      </w:r>
    </w:p>
    <w:p>
      <w:pPr>
        <w:pStyle w:val="11"/>
        <w:numPr>
          <w:ilvl w:val="0"/>
          <w:numId w:val="1"/>
        </w:numPr>
        <w:ind w:firstLineChars="0"/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与我国有关法律法规和其他标准的关系</w:t>
      </w:r>
    </w:p>
    <w:p>
      <w:pPr>
        <w:pStyle w:val="11"/>
        <w:numPr>
          <w:ilvl w:val="255"/>
          <w:numId w:val="0"/>
        </w:numPr>
        <w:ind w:left="418" w:leftChars="199" w:firstLine="420" w:firstLineChars="20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1.化妆品行业</w:t>
      </w:r>
    </w:p>
    <w:p>
      <w:pPr>
        <w:pStyle w:val="11"/>
        <w:ind w:left="19" w:leftChars="9" w:firstLine="399" w:firstLineChars="19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在国内暂没有相对应的标准。</w:t>
      </w:r>
    </w:p>
    <w:p>
      <w:pPr>
        <w:pStyle w:val="11"/>
        <w:numPr>
          <w:ilvl w:val="255"/>
          <w:numId w:val="0"/>
        </w:numPr>
        <w:ind w:left="418" w:leftChars="199" w:firstLine="420" w:firstLineChars="20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2.食品行业</w:t>
      </w:r>
    </w:p>
    <w:p>
      <w:pPr>
        <w:pStyle w:val="11"/>
        <w:ind w:left="19" w:leftChars="9" w:firstLine="399" w:firstLineChars="19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2017年5月，国家卫生和计划生育委员会审核并批准了发酵来源的N-乙酰神经氨酸作为新食品原料使用，《关于乳木果油等10种新食品原料的公告（第四个新食品原料为N-乙酰神经氨酸）》</w:t>
      </w:r>
    </w:p>
    <w:p>
      <w:pPr>
        <w:pStyle w:val="11"/>
        <w:numPr>
          <w:ilvl w:val="0"/>
          <w:numId w:val="1"/>
        </w:numPr>
        <w:ind w:firstLineChars="0"/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国外有关法律、法规和标准情况的说明</w:t>
      </w:r>
    </w:p>
    <w:p>
      <w:pPr>
        <w:pStyle w:val="11"/>
        <w:numPr>
          <w:ilvl w:val="255"/>
          <w:numId w:val="0"/>
        </w:numPr>
        <w:ind w:left="418" w:leftChars="199" w:firstLine="420" w:firstLineChars="20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1.化妆品行业</w:t>
      </w:r>
    </w:p>
    <w:p>
      <w:pPr>
        <w:pStyle w:val="11"/>
        <w:ind w:left="19" w:leftChars="9" w:firstLine="399" w:firstLineChars="19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武汉中科光谷绿色生物技术有限公司已于2015年2月注册INCI名“Acetylneuraminic Acid”，CAS：131-48-6，成为继日本Iriyachemistry公司后，全球第二家进入美国个人护理产品委员会（Personal care products council,简称PCPC） International Buyers’ Guide的N-乙酰神经氨酸供应商。技术稳定，可作为未来技术发展的基础。INCI 名称：Acetylneuraminic Acid；CAS号：131-48-6；EINECS/ELINCS 登记号：205-023-1。在化妆品行业，该物质在国际上暂没有相对应的标准。</w:t>
      </w:r>
    </w:p>
    <w:p>
      <w:pPr>
        <w:pStyle w:val="11"/>
        <w:numPr>
          <w:ilvl w:val="255"/>
          <w:numId w:val="0"/>
        </w:numPr>
        <w:ind w:left="418" w:leftChars="199" w:firstLine="420" w:firstLineChars="20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2.食品行业</w:t>
      </w:r>
    </w:p>
    <w:p>
      <w:pPr>
        <w:pStyle w:val="11"/>
        <w:ind w:left="19" w:leftChars="9" w:firstLine="399" w:firstLineChars="190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2016年02月01日美国FDA已批准N-乙酰神经氨酸可用于婴儿食品和普通食品，详见《美国食品药品监督管理局GRAS公告回复函（编号：GRN 000602）》及《Agency Response Letter GRAS Notice No. GRN 000602》。 2017年，欧盟食品安全管理局（EFSA）委员会在EFSA官方期刊The EFSA Journal发布，N-乙酰神经氨酸作为新食品原料符合欧盟法规（EC）258/97的安全性要求。《欧盟委员会2017年12月15日第20172375号执行决定》及《COMMISSION IMPLEMENTING DECISION (EU) 2017/2375 of 15 December 2017》。</w:t>
      </w:r>
    </w:p>
    <w:p>
      <w:pPr>
        <w:pStyle w:val="11"/>
        <w:numPr>
          <w:ilvl w:val="0"/>
          <w:numId w:val="1"/>
        </w:numPr>
        <w:ind w:firstLineChars="0"/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标准的制（修）订与起草原则</w:t>
      </w:r>
    </w:p>
    <w:p>
      <w:pPr>
        <w:pStyle w:val="11"/>
        <w:tabs>
          <w:tab w:val="left" w:pos="0"/>
        </w:tabs>
        <w:ind w:left="0" w:firstLine="459" w:firstLineChars="219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主要参考《关于乳木果油等10种新食品原料的公告》、《化妆品安全技术规范2015年版》。</w:t>
      </w:r>
    </w:p>
    <w:p>
      <w:pPr>
        <w:pStyle w:val="11"/>
        <w:numPr>
          <w:ilvl w:val="255"/>
          <w:numId w:val="0"/>
        </w:numPr>
        <w:ind w:left="-1"/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五、确定各项技术内容的依据</w:t>
      </w:r>
    </w:p>
    <w:p>
      <w:pPr>
        <w:pStyle w:val="11"/>
        <w:numPr>
          <w:ilvl w:val="255"/>
          <w:numId w:val="0"/>
        </w:numPr>
        <w:ind w:left="-1"/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1</w:t>
      </w:r>
      <w:r>
        <w:rPr>
          <w:rFonts w:ascii="华文中宋" w:hAnsi="华文中宋" w:eastAsia="华文中宋" w:cs="华文中宋"/>
          <w:bCs/>
          <w:szCs w:val="21"/>
        </w:rPr>
        <w:t>.各项技术指标要求</w:t>
      </w:r>
    </w:p>
    <w:p>
      <w:pPr>
        <w:pStyle w:val="11"/>
        <w:numPr>
          <w:ilvl w:val="255"/>
          <w:numId w:val="0"/>
        </w:numPr>
        <w:ind w:left="-1"/>
        <w:rPr>
          <w:rFonts w:ascii="华文中宋" w:hAnsi="华文中宋" w:eastAsia="华文中宋" w:cs="华文中宋"/>
          <w:bCs/>
          <w:szCs w:val="21"/>
        </w:rPr>
      </w:pP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969"/>
        <w:gridCol w:w="2488"/>
        <w:gridCol w:w="279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指标</w:t>
            </w:r>
          </w:p>
        </w:tc>
        <w:tc>
          <w:tcPr>
            <w:tcW w:w="196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本标准</w:t>
            </w:r>
          </w:p>
        </w:tc>
        <w:tc>
          <w:tcPr>
            <w:tcW w:w="248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同类技术要求</w:t>
            </w:r>
          </w:p>
        </w:tc>
        <w:tc>
          <w:tcPr>
            <w:tcW w:w="279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同类技术要求名称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Align w:val="center"/>
          </w:tcPr>
          <w:p>
            <w:pPr>
              <w:snapToGrid w:val="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感官指标</w:t>
            </w:r>
          </w:p>
        </w:tc>
        <w:tc>
          <w:tcPr>
            <w:tcW w:w="1969" w:type="dxa"/>
            <w:vAlign w:val="center"/>
          </w:tcPr>
          <w:p>
            <w:pPr>
              <w:ind w:left="-34" w:leftChars="-17" w:hanging="2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均匀粉末，白色，无特殊气味</w:t>
            </w:r>
          </w:p>
        </w:tc>
        <w:tc>
          <w:tcPr>
            <w:tcW w:w="2488" w:type="dxa"/>
            <w:vAlign w:val="center"/>
          </w:tcPr>
          <w:p>
            <w:pPr>
              <w:ind w:left="-34" w:leftChars="-17" w:hanging="2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白色粉末</w:t>
            </w:r>
          </w:p>
        </w:tc>
        <w:tc>
          <w:tcPr>
            <w:tcW w:w="2791" w:type="dxa"/>
            <w:vAlign w:val="center"/>
          </w:tcPr>
          <w:p>
            <w:pPr>
              <w:ind w:left="-34" w:leftChars="-17" w:hanging="2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国家卫生计生委“关于乳木果油等10种新食品原料的公告（2017年 第7号）”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restart"/>
            <w:vAlign w:val="center"/>
          </w:tcPr>
          <w:p>
            <w:pPr>
              <w:snapToGrid w:val="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理化指标</w:t>
            </w:r>
          </w:p>
        </w:tc>
        <w:tc>
          <w:tcPr>
            <w:tcW w:w="1969" w:type="dxa"/>
            <w:vAlign w:val="center"/>
          </w:tcPr>
          <w:p>
            <w:pPr>
              <w:ind w:left="-34" w:leftChars="-17" w:hanging="2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N-乙酰神经氨酸(g/100g) ≥ 98.0</w:t>
            </w:r>
          </w:p>
        </w:tc>
        <w:tc>
          <w:tcPr>
            <w:tcW w:w="2488" w:type="dxa"/>
            <w:vAlign w:val="center"/>
          </w:tcPr>
          <w:p>
            <w:pPr>
              <w:ind w:left="-5" w:leftChars="-17" w:hanging="31" w:hangingChars="15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N-乙酰神经氨酸 (g /100g) ≥98</w:t>
            </w:r>
          </w:p>
        </w:tc>
        <w:tc>
          <w:tcPr>
            <w:tcW w:w="2791" w:type="dxa"/>
            <w:vAlign w:val="center"/>
          </w:tcPr>
          <w:p>
            <w:pPr>
              <w:ind w:left="-5" w:leftChars="-17" w:hanging="31" w:hangingChars="15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国家卫生计生委“关于乳木果油等10种新食品原料的公告（2017年 第7号）”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9" w:type="dxa"/>
            <w:vAlign w:val="center"/>
          </w:tcPr>
          <w:p>
            <w:pPr>
              <w:ind w:left="-34" w:leftChars="-17" w:hanging="2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pH值(2%水溶液)：1.8-2.3</w:t>
            </w:r>
          </w:p>
        </w:tc>
        <w:tc>
          <w:tcPr>
            <w:tcW w:w="2488" w:type="dxa"/>
            <w:vAlign w:val="center"/>
          </w:tcPr>
          <w:p>
            <w:pPr>
              <w:ind w:left="-5" w:leftChars="-17" w:hanging="31" w:hangingChars="15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pH</w:t>
            </w:r>
            <w:r>
              <w:rPr>
                <w:rFonts w:hint="eastAsia" w:ascii="仿宋" w:hAnsi="仿宋" w:eastAsia="仿宋" w:cs="仿宋"/>
                <w:szCs w:val="21"/>
              </w:rPr>
              <w:t>值</w:t>
            </w:r>
            <w:r>
              <w:rPr>
                <w:rFonts w:ascii="仿宋" w:hAnsi="仿宋" w:eastAsia="仿宋" w:cs="仿宋"/>
                <w:szCs w:val="21"/>
              </w:rPr>
              <w:t>(2%</w:t>
            </w:r>
            <w:r>
              <w:rPr>
                <w:rFonts w:hint="eastAsia" w:ascii="仿宋" w:hAnsi="仿宋" w:eastAsia="仿宋" w:cs="仿宋"/>
                <w:szCs w:val="21"/>
              </w:rPr>
              <w:t>水溶液</w:t>
            </w:r>
            <w:r>
              <w:rPr>
                <w:rFonts w:ascii="仿宋" w:hAnsi="仿宋" w:eastAsia="仿宋" w:cs="仿宋"/>
                <w:szCs w:val="21"/>
              </w:rPr>
              <w:t>)</w:t>
            </w:r>
            <w:r>
              <w:rPr>
                <w:rFonts w:hint="eastAsia" w:ascii="仿宋" w:hAnsi="仿宋" w:eastAsia="仿宋" w:cs="仿宋"/>
                <w:szCs w:val="21"/>
              </w:rPr>
              <w:t>：</w:t>
            </w:r>
            <w:r>
              <w:rPr>
                <w:rFonts w:ascii="仿宋" w:hAnsi="仿宋" w:eastAsia="仿宋" w:cs="仿宋"/>
                <w:szCs w:val="21"/>
              </w:rPr>
              <w:t>1.8-2.3</w:t>
            </w:r>
          </w:p>
        </w:tc>
        <w:tc>
          <w:tcPr>
            <w:tcW w:w="2791" w:type="dxa"/>
            <w:vAlign w:val="center"/>
          </w:tcPr>
          <w:p>
            <w:pPr>
              <w:ind w:left="-5" w:leftChars="-17" w:hanging="31" w:hangingChars="15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国家卫生</w:t>
            </w:r>
            <w:r>
              <w:rPr>
                <w:rFonts w:ascii="仿宋" w:hAnsi="仿宋" w:eastAsia="仿宋" w:cs="仿宋"/>
                <w:szCs w:val="21"/>
              </w:rPr>
              <w:t>计生委</w:t>
            </w:r>
            <w:r>
              <w:rPr>
                <w:rFonts w:hint="eastAsia" w:ascii="仿宋" w:hAnsi="仿宋" w:eastAsia="仿宋" w:cs="仿宋"/>
                <w:szCs w:val="21"/>
              </w:rPr>
              <w:t>“</w:t>
            </w:r>
            <w:r>
              <w:rPr>
                <w:rFonts w:ascii="仿宋" w:hAnsi="仿宋" w:eastAsia="仿宋" w:cs="仿宋"/>
                <w:szCs w:val="21"/>
              </w:rPr>
              <w:t>关于乳木果油等10种新食品原料的公告（2017年 第7号）</w:t>
            </w:r>
            <w:r>
              <w:rPr>
                <w:rFonts w:hint="eastAsia" w:ascii="仿宋" w:hAnsi="仿宋" w:eastAsia="仿宋" w:cs="仿宋"/>
                <w:szCs w:val="21"/>
              </w:rPr>
              <w:t>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9" w:type="dxa"/>
            <w:vAlign w:val="center"/>
          </w:tcPr>
          <w:p>
            <w:pPr>
              <w:ind w:left="-34" w:leftChars="-17" w:hanging="2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水分</w:t>
            </w:r>
            <w:r>
              <w:rPr>
                <w:rFonts w:ascii="仿宋" w:hAnsi="仿宋" w:eastAsia="仿宋" w:cs="仿宋"/>
                <w:szCs w:val="21"/>
              </w:rPr>
              <w:t>(g/100g) ≤ 2.0</w:t>
            </w:r>
          </w:p>
        </w:tc>
        <w:tc>
          <w:tcPr>
            <w:tcW w:w="2488" w:type="dxa"/>
            <w:vAlign w:val="center"/>
          </w:tcPr>
          <w:p>
            <w:pPr>
              <w:ind w:left="-34" w:leftChars="-17" w:hanging="2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水分</w:t>
            </w:r>
            <w:r>
              <w:rPr>
                <w:rFonts w:ascii="仿宋" w:hAnsi="仿宋" w:eastAsia="仿宋" w:cs="仿宋"/>
                <w:szCs w:val="21"/>
              </w:rPr>
              <w:t xml:space="preserve">(g/100g) </w:t>
            </w:r>
            <w:r>
              <w:rPr>
                <w:rFonts w:hint="eastAsia" w:ascii="仿宋" w:hAnsi="仿宋" w:eastAsia="仿宋" w:cs="仿宋"/>
                <w:szCs w:val="21"/>
              </w:rPr>
              <w:t>≤</w:t>
            </w:r>
            <w:r>
              <w:rPr>
                <w:rFonts w:ascii="仿宋" w:hAnsi="仿宋" w:eastAsia="仿宋" w:cs="仿宋"/>
                <w:szCs w:val="21"/>
              </w:rPr>
              <w:t>2.0</w:t>
            </w:r>
          </w:p>
        </w:tc>
        <w:tc>
          <w:tcPr>
            <w:tcW w:w="2791" w:type="dxa"/>
            <w:vAlign w:val="center"/>
          </w:tcPr>
          <w:p>
            <w:pPr>
              <w:ind w:left="-34" w:leftChars="-17" w:hanging="2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国家卫生</w:t>
            </w:r>
            <w:r>
              <w:rPr>
                <w:rFonts w:ascii="仿宋" w:hAnsi="仿宋" w:eastAsia="仿宋" w:cs="仿宋"/>
                <w:szCs w:val="21"/>
              </w:rPr>
              <w:t>计生委</w:t>
            </w:r>
            <w:r>
              <w:rPr>
                <w:rFonts w:hint="eastAsia" w:ascii="仿宋" w:hAnsi="仿宋" w:eastAsia="仿宋" w:cs="仿宋"/>
                <w:szCs w:val="21"/>
              </w:rPr>
              <w:t>“</w:t>
            </w:r>
            <w:r>
              <w:rPr>
                <w:rFonts w:ascii="仿宋" w:hAnsi="仿宋" w:eastAsia="仿宋" w:cs="仿宋"/>
                <w:szCs w:val="21"/>
              </w:rPr>
              <w:t>关于乳木果油等10种新食品原料的公告（2017年 第7号）</w:t>
            </w:r>
            <w:r>
              <w:rPr>
                <w:rFonts w:hint="eastAsia" w:ascii="仿宋" w:hAnsi="仿宋" w:eastAsia="仿宋" w:cs="仿宋"/>
                <w:szCs w:val="21"/>
              </w:rPr>
              <w:t>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9" w:type="dxa"/>
            <w:tcBorders>
              <w:bottom w:val="single" w:color="auto" w:sz="4" w:space="0"/>
            </w:tcBorders>
            <w:vAlign w:val="center"/>
          </w:tcPr>
          <w:p>
            <w:pPr>
              <w:ind w:left="-34" w:leftChars="-17" w:hanging="2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灰分</w:t>
            </w:r>
            <w:r>
              <w:rPr>
                <w:rFonts w:ascii="仿宋" w:hAnsi="仿宋" w:eastAsia="仿宋" w:cs="仿宋"/>
                <w:szCs w:val="21"/>
              </w:rPr>
              <w:t>(g/100g) ≤ 1.0</w:t>
            </w:r>
          </w:p>
        </w:tc>
        <w:tc>
          <w:tcPr>
            <w:tcW w:w="2488" w:type="dxa"/>
            <w:vAlign w:val="center"/>
          </w:tcPr>
          <w:p>
            <w:pPr>
              <w:ind w:left="-34" w:leftChars="-17" w:hanging="2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灰分</w:t>
            </w:r>
            <w:r>
              <w:rPr>
                <w:rFonts w:ascii="仿宋" w:hAnsi="仿宋" w:eastAsia="仿宋" w:cs="仿宋"/>
                <w:szCs w:val="21"/>
              </w:rPr>
              <w:t xml:space="preserve">(g/100g) </w:t>
            </w:r>
            <w:r>
              <w:rPr>
                <w:rFonts w:hint="eastAsia" w:ascii="仿宋" w:hAnsi="仿宋" w:eastAsia="仿宋" w:cs="仿宋"/>
                <w:szCs w:val="21"/>
              </w:rPr>
              <w:t>≤</w:t>
            </w:r>
            <w:r>
              <w:rPr>
                <w:rFonts w:ascii="仿宋" w:hAnsi="仿宋" w:eastAsia="仿宋" w:cs="仿宋"/>
                <w:szCs w:val="21"/>
              </w:rPr>
              <w:t>2.0</w:t>
            </w:r>
          </w:p>
        </w:tc>
        <w:tc>
          <w:tcPr>
            <w:tcW w:w="2791" w:type="dxa"/>
            <w:vAlign w:val="center"/>
          </w:tcPr>
          <w:p>
            <w:pPr>
              <w:ind w:left="-34" w:leftChars="-17" w:hanging="2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严于国家卫生</w:t>
            </w:r>
            <w:r>
              <w:rPr>
                <w:rFonts w:ascii="仿宋" w:hAnsi="仿宋" w:eastAsia="仿宋" w:cs="仿宋"/>
                <w:szCs w:val="21"/>
              </w:rPr>
              <w:t>计生委</w:t>
            </w:r>
            <w:r>
              <w:rPr>
                <w:rFonts w:hint="eastAsia" w:ascii="仿宋" w:hAnsi="仿宋" w:eastAsia="仿宋" w:cs="仿宋"/>
                <w:szCs w:val="21"/>
              </w:rPr>
              <w:t>“</w:t>
            </w:r>
            <w:r>
              <w:rPr>
                <w:rFonts w:ascii="仿宋" w:hAnsi="仿宋" w:eastAsia="仿宋" w:cs="仿宋"/>
                <w:szCs w:val="21"/>
              </w:rPr>
              <w:t>关于乳木果油等10种新食品原料的公告（2017年 第7号）</w:t>
            </w:r>
            <w:r>
              <w:rPr>
                <w:rFonts w:hint="eastAsia" w:ascii="仿宋" w:hAnsi="仿宋" w:eastAsia="仿宋" w:cs="仿宋"/>
                <w:szCs w:val="21"/>
              </w:rPr>
              <w:t>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restart"/>
            <w:vAlign w:val="center"/>
          </w:tcPr>
          <w:p>
            <w:pPr>
              <w:snapToGrid w:val="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微生物及有害物质指标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菌落总数/（CFU/g） ≤500</w:t>
            </w:r>
          </w:p>
        </w:tc>
        <w:tc>
          <w:tcPr>
            <w:tcW w:w="2488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kern w:val="2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Cs w:val="21"/>
              </w:rPr>
              <w:t>菌落总数/（CFU/g） ≤500</w:t>
            </w:r>
          </w:p>
        </w:tc>
        <w:tc>
          <w:tcPr>
            <w:tcW w:w="2791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kern w:val="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化妆品安全技术规范2015年版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霉菌和酵母</w:t>
            </w:r>
            <w:r>
              <w:rPr>
                <w:rFonts w:hint="eastAsia" w:ascii="仿宋" w:hAnsi="仿宋" w:eastAsia="仿宋" w:cs="仿宋"/>
                <w:szCs w:val="21"/>
              </w:rPr>
              <w:t>菌总数</w:t>
            </w:r>
            <w:r>
              <w:rPr>
                <w:rFonts w:ascii="仿宋" w:hAnsi="仿宋" w:eastAsia="仿宋" w:cs="仿宋"/>
                <w:szCs w:val="21"/>
              </w:rPr>
              <w:t xml:space="preserve">/（CFU/g） </w:t>
            </w:r>
            <w:r>
              <w:rPr>
                <w:rFonts w:hint="eastAsia" w:ascii="仿宋" w:hAnsi="仿宋" w:eastAsia="仿宋" w:cs="仿宋"/>
                <w:szCs w:val="21"/>
              </w:rPr>
              <w:t>≤</w:t>
            </w:r>
            <w:r>
              <w:rPr>
                <w:rFonts w:ascii="仿宋" w:hAnsi="仿宋" w:eastAsia="仿宋" w:cs="仿宋"/>
                <w:szCs w:val="21"/>
              </w:rPr>
              <w:t>100</w:t>
            </w:r>
          </w:p>
        </w:tc>
        <w:tc>
          <w:tcPr>
            <w:tcW w:w="2488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kern w:val="2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Cs w:val="21"/>
              </w:rPr>
              <w:t>霉菌和酵母菌总数</w:t>
            </w:r>
            <w:r>
              <w:rPr>
                <w:rFonts w:ascii="仿宋" w:hAnsi="仿宋" w:eastAsia="仿宋" w:cs="仿宋"/>
                <w:kern w:val="2"/>
                <w:szCs w:val="21"/>
              </w:rPr>
              <w:t xml:space="preserve">/（CFU/g） </w:t>
            </w:r>
            <w:r>
              <w:rPr>
                <w:rFonts w:hint="eastAsia" w:ascii="仿宋" w:hAnsi="仿宋" w:eastAsia="仿宋" w:cs="仿宋"/>
                <w:kern w:val="2"/>
                <w:szCs w:val="21"/>
              </w:rPr>
              <w:t>≤</w:t>
            </w:r>
            <w:r>
              <w:rPr>
                <w:rFonts w:ascii="仿宋" w:hAnsi="仿宋" w:eastAsia="仿宋" w:cs="仿宋"/>
                <w:kern w:val="2"/>
                <w:szCs w:val="21"/>
              </w:rPr>
              <w:t>100</w:t>
            </w:r>
          </w:p>
        </w:tc>
        <w:tc>
          <w:tcPr>
            <w:tcW w:w="2791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kern w:val="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化妆品安全技术规范</w:t>
            </w:r>
            <w:r>
              <w:rPr>
                <w:rFonts w:ascii="仿宋" w:hAnsi="仿宋" w:eastAsia="仿宋" w:cs="仿宋"/>
                <w:szCs w:val="21"/>
              </w:rPr>
              <w:t>2015年版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金黄色葡萄球菌（</w:t>
            </w:r>
            <w:r>
              <w:rPr>
                <w:rFonts w:ascii="仿宋" w:hAnsi="仿宋" w:eastAsia="仿宋" w:cs="仿宋"/>
                <w:szCs w:val="21"/>
              </w:rPr>
              <w:t xml:space="preserve">/g）,  </w:t>
            </w:r>
            <w:r>
              <w:rPr>
                <w:rFonts w:hint="eastAsia" w:ascii="仿宋" w:hAnsi="仿宋" w:eastAsia="仿宋" w:cs="仿宋"/>
                <w:szCs w:val="21"/>
              </w:rPr>
              <w:t>不得检出</w:t>
            </w:r>
          </w:p>
        </w:tc>
        <w:tc>
          <w:tcPr>
            <w:tcW w:w="2488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kern w:val="2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Cs w:val="21"/>
              </w:rPr>
              <w:t>金黄色葡萄球菌（</w:t>
            </w:r>
            <w:r>
              <w:rPr>
                <w:rFonts w:ascii="仿宋" w:hAnsi="仿宋" w:eastAsia="仿宋" w:cs="仿宋"/>
                <w:kern w:val="2"/>
                <w:szCs w:val="21"/>
              </w:rPr>
              <w:t xml:space="preserve">/g）,  </w:t>
            </w:r>
            <w:r>
              <w:rPr>
                <w:rFonts w:hint="eastAsia" w:ascii="仿宋" w:hAnsi="仿宋" w:eastAsia="仿宋" w:cs="仿宋"/>
                <w:kern w:val="2"/>
                <w:szCs w:val="21"/>
              </w:rPr>
              <w:t>不得检出</w:t>
            </w:r>
          </w:p>
        </w:tc>
        <w:tc>
          <w:tcPr>
            <w:tcW w:w="2791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kern w:val="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化妆品安全技术规范</w:t>
            </w:r>
            <w:r>
              <w:rPr>
                <w:rFonts w:ascii="仿宋" w:hAnsi="仿宋" w:eastAsia="仿宋" w:cs="仿宋"/>
                <w:szCs w:val="21"/>
              </w:rPr>
              <w:t>2015年版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耐热大肠菌群（/g）</w:t>
            </w:r>
            <w:r>
              <w:rPr>
                <w:rFonts w:ascii="仿宋" w:hAnsi="仿宋" w:eastAsia="仿宋" w:cs="仿宋"/>
                <w:szCs w:val="21"/>
              </w:rPr>
              <w:t xml:space="preserve">,  </w:t>
            </w:r>
            <w:r>
              <w:rPr>
                <w:rFonts w:hint="eastAsia" w:ascii="仿宋" w:hAnsi="仿宋" w:eastAsia="仿宋" w:cs="仿宋"/>
                <w:szCs w:val="21"/>
              </w:rPr>
              <w:t>不得检出</w:t>
            </w:r>
          </w:p>
        </w:tc>
        <w:tc>
          <w:tcPr>
            <w:tcW w:w="2488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kern w:val="2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耐热大肠菌群（/g）</w:t>
            </w:r>
            <w:r>
              <w:rPr>
                <w:rFonts w:ascii="仿宋" w:hAnsi="仿宋" w:eastAsia="仿宋" w:cs="仿宋"/>
                <w:kern w:val="2"/>
                <w:szCs w:val="21"/>
              </w:rPr>
              <w:t xml:space="preserve">,  </w:t>
            </w:r>
            <w:r>
              <w:rPr>
                <w:rFonts w:hint="eastAsia" w:ascii="仿宋" w:hAnsi="仿宋" w:eastAsia="仿宋" w:cs="仿宋"/>
                <w:kern w:val="2"/>
                <w:szCs w:val="21"/>
              </w:rPr>
              <w:t>不得检出</w:t>
            </w:r>
          </w:p>
        </w:tc>
        <w:tc>
          <w:tcPr>
            <w:tcW w:w="2791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化妆品安全技术规范</w:t>
            </w:r>
            <w:r>
              <w:rPr>
                <w:rFonts w:ascii="仿宋" w:hAnsi="仿宋" w:eastAsia="仿宋" w:cs="仿宋"/>
                <w:szCs w:val="21"/>
              </w:rPr>
              <w:t>2015年版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铜绿假单胞菌（/g）</w:t>
            </w:r>
            <w:r>
              <w:rPr>
                <w:rFonts w:ascii="仿宋" w:hAnsi="仿宋" w:eastAsia="仿宋" w:cs="仿宋"/>
                <w:szCs w:val="21"/>
              </w:rPr>
              <w:t xml:space="preserve">,  </w:t>
            </w:r>
            <w:r>
              <w:rPr>
                <w:rFonts w:hint="eastAsia" w:ascii="仿宋" w:hAnsi="仿宋" w:eastAsia="仿宋" w:cs="仿宋"/>
                <w:szCs w:val="21"/>
              </w:rPr>
              <w:t>不得检出</w:t>
            </w:r>
          </w:p>
        </w:tc>
        <w:tc>
          <w:tcPr>
            <w:tcW w:w="2488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kern w:val="2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耐热大肠菌群（/g）</w:t>
            </w:r>
            <w:r>
              <w:rPr>
                <w:rFonts w:ascii="仿宋" w:hAnsi="仿宋" w:eastAsia="仿宋" w:cs="仿宋"/>
                <w:kern w:val="2"/>
                <w:szCs w:val="21"/>
              </w:rPr>
              <w:t xml:space="preserve">,  </w:t>
            </w:r>
            <w:r>
              <w:rPr>
                <w:rFonts w:hint="eastAsia" w:ascii="仿宋" w:hAnsi="仿宋" w:eastAsia="仿宋" w:cs="仿宋"/>
                <w:kern w:val="2"/>
                <w:szCs w:val="21"/>
              </w:rPr>
              <w:t>不得检出</w:t>
            </w:r>
          </w:p>
        </w:tc>
        <w:tc>
          <w:tcPr>
            <w:tcW w:w="2791" w:type="dxa"/>
            <w:vAlign w:val="center"/>
          </w:tcPr>
          <w:p>
            <w:pPr>
              <w:pStyle w:val="12"/>
              <w:ind w:firstLine="0" w:firstLineChars="0"/>
              <w:jc w:val="left"/>
              <w:rPr>
                <w:rFonts w:ascii="仿宋" w:hAnsi="仿宋" w:eastAsia="仿宋" w:cs="仿宋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化妆品安全技术规范</w:t>
            </w:r>
            <w:r>
              <w:rPr>
                <w:rFonts w:ascii="仿宋" w:hAnsi="仿宋" w:eastAsia="仿宋" w:cs="仿宋"/>
                <w:szCs w:val="21"/>
              </w:rPr>
              <w:t>2015年版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铅/ (mg/kg)  ≤10.0</w:t>
            </w:r>
          </w:p>
        </w:tc>
        <w:tc>
          <w:tcPr>
            <w:tcW w:w="2488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铅/ (mg/kg)  ≤10.0</w:t>
            </w:r>
          </w:p>
        </w:tc>
        <w:tc>
          <w:tcPr>
            <w:tcW w:w="2791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化妆品安全技术规范2015年版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砷/ (mg/kg)  ≤2.0</w:t>
            </w:r>
          </w:p>
        </w:tc>
        <w:tc>
          <w:tcPr>
            <w:tcW w:w="2488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砷/ (mg/kg)  ≤2.0</w:t>
            </w:r>
          </w:p>
        </w:tc>
        <w:tc>
          <w:tcPr>
            <w:tcW w:w="2791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化妆品安全技术规范2015年版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汞/ (mg/kg) ≤1.0</w:t>
            </w:r>
          </w:p>
        </w:tc>
        <w:tc>
          <w:tcPr>
            <w:tcW w:w="2488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汞/ (mg/kg) ≤1.0</w:t>
            </w:r>
          </w:p>
        </w:tc>
        <w:tc>
          <w:tcPr>
            <w:tcW w:w="2791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化妆品安全技术规范2015年版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8" w:type="dxa"/>
            <w:vMerge w:val="continue"/>
            <w:vAlign w:val="center"/>
          </w:tcPr>
          <w:p>
            <w:pPr>
              <w:snapToGrid w:val="0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镉/（mg/kg）≤5.0</w:t>
            </w:r>
          </w:p>
        </w:tc>
        <w:tc>
          <w:tcPr>
            <w:tcW w:w="2488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镉/（mg/kg）≤5.0</w:t>
            </w:r>
          </w:p>
        </w:tc>
        <w:tc>
          <w:tcPr>
            <w:tcW w:w="2791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化妆品安全技术规范2015年版</w:t>
            </w:r>
          </w:p>
        </w:tc>
      </w:tr>
    </w:tbl>
    <w:p>
      <w:pPr>
        <w:rPr>
          <w:rFonts w:ascii="华文中宋" w:hAnsi="华文中宋" w:eastAsia="华文中宋" w:cs="华文中宋"/>
          <w:bCs/>
          <w:szCs w:val="21"/>
        </w:rPr>
      </w:pPr>
    </w:p>
    <w:p>
      <w:pPr>
        <w:snapToGrid w:val="0"/>
        <w:jc w:val="left"/>
        <w:rPr>
          <w:rFonts w:hint="eastAsia" w:ascii="华文中宋" w:hAnsi="华文中宋" w:eastAsia="华文中宋" w:cs="华文中宋"/>
          <w:bCs/>
          <w:szCs w:val="21"/>
        </w:rPr>
      </w:pPr>
      <w:r>
        <w:rPr>
          <w:rFonts w:hint="eastAsia" w:ascii="仿宋" w:hAnsi="仿宋" w:eastAsia="仿宋" w:cs="仿宋"/>
          <w:kern w:val="0"/>
          <w:sz w:val="21"/>
          <w:szCs w:val="21"/>
        </w:rPr>
        <w:t>2</w:t>
      </w:r>
      <w:r>
        <w:rPr>
          <w:rFonts w:ascii="仿宋" w:hAnsi="仿宋" w:eastAsia="仿宋" w:cs="仿宋"/>
          <w:kern w:val="0"/>
          <w:sz w:val="21"/>
          <w:szCs w:val="21"/>
        </w:rPr>
        <w:t>.</w:t>
      </w:r>
      <w:r>
        <w:rPr>
          <w:rFonts w:hint="eastAsia" w:ascii="仿宋" w:hAnsi="仿宋" w:eastAsia="仿宋" w:cs="仿宋"/>
          <w:kern w:val="0"/>
          <w:sz w:val="21"/>
          <w:szCs w:val="21"/>
        </w:rPr>
        <w:t>团体标准《</w:t>
      </w:r>
      <w:r>
        <w:rPr>
          <w:rFonts w:ascii="仿宋" w:hAnsi="仿宋" w:eastAsia="仿宋" w:cs="仿宋"/>
          <w:kern w:val="0"/>
          <w:sz w:val="21"/>
          <w:szCs w:val="21"/>
        </w:rPr>
        <w:t>化妆品用原料</w:t>
      </w:r>
      <w:r>
        <w:rPr>
          <w:rFonts w:ascii="Calibri" w:hAnsi="Calibri" w:eastAsia="仿宋" w:cs="Calibri"/>
          <w:kern w:val="0"/>
          <w:sz w:val="21"/>
          <w:szCs w:val="21"/>
        </w:rPr>
        <w:t> </w:t>
      </w:r>
      <w:r>
        <w:rPr>
          <w:rFonts w:ascii="仿宋" w:hAnsi="仿宋" w:eastAsia="仿宋" w:cs="仿宋"/>
          <w:kern w:val="0"/>
          <w:sz w:val="21"/>
          <w:szCs w:val="21"/>
        </w:rPr>
        <w:t>N-</w:t>
      </w:r>
      <w:r>
        <w:rPr>
          <w:rFonts w:hint="eastAsia" w:ascii="仿宋" w:hAnsi="仿宋" w:eastAsia="仿宋" w:cs="仿宋"/>
          <w:kern w:val="0"/>
          <w:sz w:val="21"/>
          <w:szCs w:val="21"/>
        </w:rPr>
        <w:t>乙酰神经氨酸》6</w:t>
      </w:r>
      <w:r>
        <w:rPr>
          <w:rFonts w:ascii="仿宋" w:hAnsi="仿宋" w:eastAsia="仿宋" w:cs="仿宋"/>
          <w:kern w:val="0"/>
          <w:sz w:val="21"/>
          <w:szCs w:val="21"/>
        </w:rPr>
        <w:t>.2 N-</w:t>
      </w:r>
      <w:r>
        <w:rPr>
          <w:rFonts w:hint="eastAsia" w:ascii="仿宋" w:hAnsi="仿宋" w:eastAsia="仿宋" w:cs="仿宋"/>
          <w:kern w:val="0"/>
          <w:sz w:val="21"/>
          <w:szCs w:val="21"/>
        </w:rPr>
        <w:t>乙酰神经氨酸</w:t>
      </w:r>
      <w:r>
        <w:rPr>
          <w:rFonts w:ascii="仿宋" w:hAnsi="仿宋" w:eastAsia="仿宋" w:cs="仿宋"/>
          <w:kern w:val="0"/>
          <w:sz w:val="21"/>
          <w:szCs w:val="21"/>
        </w:rPr>
        <w:t>含量检测方法验证，详见附</w:t>
      </w:r>
      <w:r>
        <w:rPr>
          <w:rFonts w:hint="eastAsia" w:ascii="仿宋" w:hAnsi="仿宋" w:eastAsia="仿宋" w:cs="仿宋"/>
          <w:kern w:val="0"/>
          <w:sz w:val="21"/>
          <w:szCs w:val="21"/>
        </w:rPr>
        <w:t>1</w:t>
      </w:r>
      <w:r>
        <w:rPr>
          <w:rFonts w:ascii="仿宋" w:hAnsi="仿宋" w:eastAsia="仿宋" w:cs="仿宋"/>
          <w:kern w:val="0"/>
          <w:sz w:val="21"/>
          <w:szCs w:val="21"/>
        </w:rPr>
        <w:t>.</w:t>
      </w:r>
    </w:p>
    <w:p>
      <w:pPr>
        <w:rPr>
          <w:rFonts w:ascii="华文中宋" w:hAnsi="华文中宋" w:eastAsia="华文中宋" w:cs="华文中宋"/>
          <w:bCs/>
          <w:szCs w:val="21"/>
        </w:rPr>
      </w:pPr>
      <w:bookmarkStart w:id="0" w:name="_GoBack"/>
      <w:bookmarkEnd w:id="0"/>
    </w:p>
    <w:p>
      <w:pPr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六、 征求意见的采纳情况（附《征求意见汇总处理表》、重大意见分歧的处理结果和依据）</w:t>
      </w:r>
    </w:p>
    <w:p>
      <w:pPr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七、 标准实施日期和实施建议</w:t>
      </w:r>
    </w:p>
    <w:p>
      <w:pPr>
        <w:rPr>
          <w:rFonts w:ascii="华文中宋" w:hAnsi="华文中宋" w:eastAsia="华文中宋" w:cs="华文中宋"/>
          <w:bCs/>
          <w:szCs w:val="21"/>
        </w:rPr>
      </w:pPr>
      <w:r>
        <w:rPr>
          <w:rFonts w:hint="eastAsia" w:ascii="华文中宋" w:hAnsi="华文中宋" w:eastAsia="华文中宋" w:cs="华文中宋"/>
          <w:bCs/>
          <w:szCs w:val="21"/>
        </w:rPr>
        <w:t>八、 其他需要说明的事项（含涉及专利情况说明）</w:t>
      </w:r>
    </w:p>
    <w:p>
      <w:pPr>
        <w:ind w:firstLine="420" w:firstLineChars="200"/>
        <w:rPr>
          <w:rFonts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无</w:t>
      </w:r>
    </w:p>
    <w:p>
      <w:pPr>
        <w:ind w:firstLine="0" w:firstLineChars="0"/>
        <w:rPr>
          <w:rFonts w:ascii="仿宋" w:hAnsi="仿宋" w:eastAsia="仿宋" w:cs="仿宋"/>
          <w:bCs/>
          <w:szCs w:val="21"/>
        </w:rPr>
      </w:pPr>
    </w:p>
    <w:p>
      <w:pPr>
        <w:ind w:firstLine="0" w:firstLineChars="0"/>
        <w:rPr>
          <w:rFonts w:ascii="仿宋" w:hAnsi="仿宋" w:eastAsia="仿宋" w:cs="仿宋"/>
          <w:bCs/>
          <w:szCs w:val="21"/>
        </w:rPr>
      </w:pPr>
    </w:p>
    <w:p>
      <w:pPr>
        <w:ind w:firstLine="0" w:firstLineChars="0"/>
        <w:rPr>
          <w:rFonts w:ascii="仿宋" w:hAnsi="仿宋" w:eastAsia="仿宋" w:cs="仿宋"/>
          <w:bCs/>
          <w:szCs w:val="21"/>
        </w:rPr>
      </w:pPr>
      <w:r>
        <w:rPr>
          <w:rFonts w:ascii="仿宋" w:hAnsi="仿宋" w:eastAsia="仿宋" w:cs="仿宋"/>
          <w:bCs/>
          <w:szCs w:val="21"/>
        </w:rPr>
        <w:t>附</w:t>
      </w:r>
      <w:r>
        <w:rPr>
          <w:rFonts w:hint="eastAsia" w:ascii="仿宋" w:hAnsi="仿宋" w:eastAsia="仿宋" w:cs="仿宋"/>
          <w:bCs/>
          <w:szCs w:val="21"/>
        </w:rPr>
        <w:t>1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团体标准《</w:t>
      </w:r>
      <w:r>
        <w:rPr>
          <w:rFonts w:ascii="Times New Roman" w:hAnsi="Times New Roman" w:cs="Times New Roman"/>
          <w:sz w:val="28"/>
        </w:rPr>
        <w:t>化妆品用原料 N-</w:t>
      </w:r>
      <w:r>
        <w:rPr>
          <w:rFonts w:hint="eastAsia" w:ascii="Times New Roman" w:hAnsi="Times New Roman" w:cs="Times New Roman"/>
          <w:sz w:val="28"/>
        </w:rPr>
        <w:t>乙酰神经氨酸》6</w:t>
      </w:r>
      <w:r>
        <w:rPr>
          <w:rFonts w:ascii="Times New Roman" w:hAnsi="Times New Roman" w:cs="Times New Roman"/>
          <w:sz w:val="28"/>
        </w:rPr>
        <w:t>.2 N-</w:t>
      </w:r>
      <w:r>
        <w:rPr>
          <w:rFonts w:hint="eastAsia" w:ascii="Times New Roman" w:hAnsi="Times New Roman" w:cs="Times New Roman"/>
          <w:sz w:val="28"/>
        </w:rPr>
        <w:t>乙酰神经氨酸</w:t>
      </w:r>
      <w:r>
        <w:rPr>
          <w:rFonts w:ascii="Times New Roman" w:hAnsi="Times New Roman" w:cs="Times New Roman"/>
          <w:sz w:val="28"/>
        </w:rPr>
        <w:t>含量检测方法验证</w:t>
      </w:r>
    </w:p>
    <w:p>
      <w:pPr>
        <w:spacing w:line="360" w:lineRule="auto"/>
        <w:ind w:left="482" w:hanging="482" w:hanging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1目的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应用</w:t>
      </w:r>
      <w:r>
        <w:rPr>
          <w:rFonts w:hint="eastAsia" w:ascii="Times New Roman" w:hAnsi="Times New Roman" w:cs="Times New Roman"/>
          <w:sz w:val="24"/>
          <w:szCs w:val="24"/>
        </w:rPr>
        <w:t>团体标准《化妆品用原料</w:t>
      </w:r>
      <w:r>
        <w:rPr>
          <w:rFonts w:ascii="Times New Roman" w:hAnsi="Times New Roman" w:cs="Times New Roman"/>
          <w:sz w:val="24"/>
          <w:szCs w:val="24"/>
        </w:rPr>
        <w:t> N-</w:t>
      </w:r>
      <w:r>
        <w:rPr>
          <w:rFonts w:hint="eastAsia" w:ascii="Times New Roman" w:hAnsi="Times New Roman" w:cs="Times New Roman"/>
          <w:sz w:val="24"/>
          <w:szCs w:val="24"/>
        </w:rPr>
        <w:t>乙酰神经氨酸》</w:t>
      </w:r>
      <w:r>
        <w:rPr>
          <w:rFonts w:ascii="Times New Roman" w:hAnsi="Times New Roman" w:cs="Times New Roman"/>
          <w:sz w:val="24"/>
          <w:szCs w:val="24"/>
        </w:rPr>
        <w:t>6.2 N-</w:t>
      </w:r>
      <w:r>
        <w:rPr>
          <w:rFonts w:hint="eastAsia" w:ascii="Times New Roman" w:hAnsi="Times New Roman" w:cs="Times New Roman"/>
          <w:sz w:val="24"/>
          <w:szCs w:val="24"/>
        </w:rPr>
        <w:t>乙酰神经氨酸含量</w:t>
      </w:r>
      <w:r>
        <w:rPr>
          <w:rFonts w:ascii="Times New Roman" w:hAnsi="Times New Roman" w:cs="Times New Roman"/>
          <w:sz w:val="24"/>
          <w:szCs w:val="24"/>
        </w:rPr>
        <w:t>方法检测样品</w:t>
      </w:r>
      <w:r>
        <w:rPr>
          <w:rFonts w:hint="eastAsia" w:ascii="Times New Roman" w:hAnsi="Times New Roman" w:cs="Times New Roman"/>
          <w:sz w:val="24"/>
          <w:szCs w:val="24"/>
        </w:rPr>
        <w:t>（适用样品为满足“卫计委关于乳木果油等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</w:rPr>
        <w:t>种新食品原料的公告</w:t>
      </w:r>
      <w:r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hint="eastAsia" w:ascii="Times New Roman" w:hAnsi="Times New Roman" w:cs="Times New Roman"/>
          <w:sz w:val="24"/>
          <w:szCs w:val="24"/>
        </w:rPr>
        <w:t>年第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>号”质量标准要求的</w:t>
      </w:r>
      <w:r>
        <w:rPr>
          <w:rFonts w:ascii="Times New Roman" w:hAnsi="Times New Roman" w:cs="Times New Roman"/>
          <w:sz w:val="24"/>
          <w:szCs w:val="24"/>
        </w:rPr>
        <w:t>N-</w:t>
      </w:r>
      <w:r>
        <w:rPr>
          <w:rFonts w:hint="eastAsia" w:ascii="Times New Roman" w:hAnsi="Times New Roman" w:cs="Times New Roman"/>
          <w:sz w:val="24"/>
          <w:szCs w:val="24"/>
        </w:rPr>
        <w:t>乙酰神经氨酸样品）</w:t>
      </w:r>
      <w:r>
        <w:rPr>
          <w:rFonts w:ascii="Times New Roman" w:hAnsi="Times New Roman" w:cs="Times New Roman"/>
          <w:sz w:val="24"/>
          <w:szCs w:val="24"/>
        </w:rPr>
        <w:t>中N-</w:t>
      </w:r>
      <w:r>
        <w:rPr>
          <w:rFonts w:hint="eastAsia" w:ascii="Times New Roman" w:hAnsi="Times New Roman" w:cs="Times New Roman"/>
          <w:sz w:val="24"/>
          <w:szCs w:val="24"/>
        </w:rPr>
        <w:t>乙酰神经氨酸</w:t>
      </w:r>
      <w:r>
        <w:rPr>
          <w:rFonts w:ascii="Times New Roman" w:hAnsi="Times New Roman" w:cs="Times New Roman"/>
          <w:sz w:val="24"/>
          <w:szCs w:val="24"/>
        </w:rPr>
        <w:t>含量，并进行方法学验证，以确认该方法准确性。</w:t>
      </w:r>
    </w:p>
    <w:p>
      <w:pPr>
        <w:spacing w:line="360" w:lineRule="auto"/>
        <w:ind w:left="482" w:hanging="482" w:hanging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2方法</w:t>
      </w:r>
    </w:p>
    <w:p>
      <w:pPr>
        <w:spacing w:line="360" w:lineRule="auto"/>
        <w:ind w:left="482" w:hanging="482" w:hanging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2.1试剂和材料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高效液相色谱仪；色谱柱：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Aminex HPX-87H 300×7.8mm</w:t>
      </w:r>
      <w:r>
        <w:rPr>
          <w:rFonts w:hint="eastAsia" w:asciiTheme="minorEastAsia" w:hAnsiTheme="minorEastAsia"/>
          <w:szCs w:val="21"/>
        </w:rPr>
        <w:t>（catalog#125-0140）或同等柱效色谱柱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流动相：</w:t>
      </w:r>
      <w:r>
        <w:rPr>
          <w:rFonts w:hint="eastAsia" w:asciiTheme="minorEastAsia" w:hAnsiTheme="minorEastAsia"/>
          <w:szCs w:val="21"/>
        </w:rPr>
        <w:t>0.005M硫酸</w:t>
      </w:r>
      <w:r>
        <w:rPr>
          <w:rFonts w:ascii="Times New Roman" w:hAnsi="Times New Roman" w:cs="Times New Roman"/>
          <w:sz w:val="24"/>
          <w:szCs w:val="24"/>
        </w:rPr>
        <w:t>；流动相流速：0.60 mL/min；检测</w:t>
      </w:r>
      <w:r>
        <w:rPr>
          <w:rFonts w:hint="eastAsia" w:asciiTheme="minorEastAsia" w:hAnsiTheme="minorEastAsia"/>
          <w:szCs w:val="21"/>
        </w:rPr>
        <w:t>波长</w:t>
      </w:r>
      <w:r>
        <w:rPr>
          <w:rFonts w:ascii="Times New Roman" w:hAnsi="Times New Roman" w:cs="Times New Roman"/>
          <w:sz w:val="24"/>
          <w:szCs w:val="24"/>
        </w:rPr>
        <w:t>： 210 nm；进样</w:t>
      </w:r>
      <w:r>
        <w:rPr>
          <w:rFonts w:hint="eastAsia" w:asciiTheme="minorEastAsia" w:hAnsiTheme="minorEastAsia"/>
          <w:szCs w:val="21"/>
        </w:rPr>
        <w:t>体积</w:t>
      </w:r>
      <w:r>
        <w:rPr>
          <w:rFonts w:ascii="Times New Roman" w:hAnsi="Times New Roman" w:cs="Times New Roman"/>
          <w:sz w:val="24"/>
          <w:szCs w:val="24"/>
        </w:rPr>
        <w:t>：20ul。</w:t>
      </w:r>
    </w:p>
    <w:p>
      <w:pPr>
        <w:spacing w:line="360" w:lineRule="auto"/>
        <w:ind w:left="482" w:hanging="482" w:hanging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 标准液及样品的处理</w:t>
      </w:r>
    </w:p>
    <w:p>
      <w:pPr>
        <w:spacing w:line="360" w:lineRule="auto"/>
        <w:ind w:left="482" w:hanging="482" w:hanging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2.2. 1</w:t>
      </w:r>
      <w:r>
        <w:rPr>
          <w:rFonts w:hint="eastAsia" w:ascii="黑体" w:hAnsi="黑体" w:eastAsia="黑体"/>
          <w:szCs w:val="21"/>
        </w:rPr>
        <w:t>标准系列溶液的制备（标准曲线法）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将</w:t>
      </w:r>
      <w:r>
        <w:rPr>
          <w:rFonts w:ascii="Times New Roman" w:hAnsi="Times New Roman" w:cs="Times New Roman"/>
          <w:sz w:val="24"/>
          <w:szCs w:val="24"/>
        </w:rPr>
        <w:t>唾液酸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标品用纯水配制成</w:t>
      </w:r>
      <w:r>
        <w:rPr>
          <w:rFonts w:hint="eastAsia" w:asciiTheme="minorEastAsia" w:hAnsiTheme="minorEastAsia"/>
          <w:szCs w:val="21"/>
        </w:rPr>
        <w:t>1.0000g/</w:t>
      </w:r>
      <w:r>
        <w:rPr>
          <w:rFonts w:asciiTheme="minorEastAsia" w:hAnsiTheme="minorEastAsia"/>
          <w:szCs w:val="21"/>
        </w:rPr>
        <w:t>L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作为标准储备液。使用</w:t>
      </w:r>
      <w:r>
        <w:rPr>
          <w:rFonts w:hint="eastAsia" w:asciiTheme="minorEastAsia" w:hAnsiTheme="minorEastAsia"/>
          <w:szCs w:val="21"/>
        </w:rPr>
        <w:t>1.0000g/</w:t>
      </w:r>
      <w:r>
        <w:rPr>
          <w:rFonts w:asciiTheme="minorEastAsia" w:hAnsiTheme="minorEastAsia"/>
          <w:szCs w:val="21"/>
        </w:rPr>
        <w:t>L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标准储备液配成</w:t>
      </w:r>
      <w:r>
        <w:rPr>
          <w:rFonts w:hint="eastAsia" w:asciiTheme="minorEastAsia" w:hAnsiTheme="minorEastAsia"/>
          <w:szCs w:val="21"/>
        </w:rPr>
        <w:t>0.1000g/</w:t>
      </w:r>
      <w:r>
        <w:rPr>
          <w:rFonts w:asciiTheme="minorEastAsia" w:hAnsiTheme="minorEastAsia"/>
          <w:szCs w:val="21"/>
        </w:rPr>
        <w:t>L</w:t>
      </w:r>
      <w:r>
        <w:rPr>
          <w:rFonts w:hint="eastAsia" w:asciiTheme="minorEastAsia" w:hAnsiTheme="minorEastAsia"/>
          <w:szCs w:val="21"/>
        </w:rPr>
        <w:t>、0.2000g/</w:t>
      </w:r>
      <w:r>
        <w:rPr>
          <w:rFonts w:asciiTheme="minorEastAsia" w:hAnsiTheme="minorEastAsia"/>
          <w:szCs w:val="21"/>
        </w:rPr>
        <w:t>L</w:t>
      </w:r>
      <w:r>
        <w:rPr>
          <w:rFonts w:hint="eastAsia" w:asciiTheme="minorEastAsia" w:hAnsiTheme="minorEastAsia"/>
          <w:szCs w:val="21"/>
        </w:rPr>
        <w:t>、0.3000g/</w:t>
      </w:r>
      <w:r>
        <w:rPr>
          <w:rFonts w:asciiTheme="minorEastAsia" w:hAnsiTheme="minorEastAsia"/>
          <w:szCs w:val="21"/>
        </w:rPr>
        <w:t>L</w:t>
      </w:r>
      <w:r>
        <w:rPr>
          <w:rFonts w:hint="eastAsia" w:asciiTheme="minorEastAsia" w:hAnsiTheme="minorEastAsia"/>
          <w:szCs w:val="21"/>
        </w:rPr>
        <w:t>、0.4000g/</w:t>
      </w:r>
      <w:r>
        <w:rPr>
          <w:rFonts w:asciiTheme="minorEastAsia" w:hAnsiTheme="minorEastAsia"/>
          <w:szCs w:val="21"/>
        </w:rPr>
        <w:t>L</w:t>
      </w:r>
      <w:r>
        <w:rPr>
          <w:rFonts w:hint="eastAsia" w:asciiTheme="minorEastAsia" w:hAnsiTheme="minorEastAsia"/>
          <w:szCs w:val="21"/>
        </w:rPr>
        <w:t>、0.5000g/</w:t>
      </w:r>
      <w:r>
        <w:rPr>
          <w:rFonts w:asciiTheme="minorEastAsia" w:hAnsiTheme="minorEastAsia"/>
          <w:szCs w:val="21"/>
        </w:rPr>
        <w:t>L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浓度的标曲。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2.2.2</w:t>
      </w:r>
      <w:r>
        <w:rPr>
          <w:rFonts w:hint="eastAsia" w:ascii="黑体" w:hAnsi="黑体" w:eastAsia="黑体"/>
          <w:szCs w:val="21"/>
        </w:rPr>
        <w:t>样品溶液的制备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称取150mg（精确至0.0001g）样品于500ml的容量瓶中，溶解，加水至刻度。混匀后经0.22μm微孔滤膜过滤，供液相分析。</w:t>
      </w:r>
    </w:p>
    <w:p>
      <w:pPr>
        <w:spacing w:line="360" w:lineRule="auto"/>
        <w:ind w:left="482" w:hanging="482" w:hanging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3结果</w:t>
      </w:r>
    </w:p>
    <w:p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 标准曲线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配制质量浓度分别为</w:t>
      </w:r>
      <w:r>
        <w:rPr>
          <w:rFonts w:hint="eastAsia" w:asciiTheme="minorEastAsia" w:hAnsiTheme="minorEastAsia"/>
          <w:szCs w:val="21"/>
        </w:rPr>
        <w:t>0.1000g/</w:t>
      </w:r>
      <w:r>
        <w:rPr>
          <w:rFonts w:asciiTheme="minorEastAsia" w:hAnsiTheme="minorEastAsia"/>
          <w:szCs w:val="21"/>
        </w:rPr>
        <w:t>L</w:t>
      </w:r>
      <w:r>
        <w:rPr>
          <w:rFonts w:hint="eastAsia" w:asciiTheme="minorEastAsia" w:hAnsiTheme="minorEastAsia"/>
          <w:szCs w:val="21"/>
        </w:rPr>
        <w:t>、0.2000g/</w:t>
      </w:r>
      <w:r>
        <w:rPr>
          <w:rFonts w:asciiTheme="minorEastAsia" w:hAnsiTheme="minorEastAsia"/>
          <w:szCs w:val="21"/>
        </w:rPr>
        <w:t>L</w:t>
      </w:r>
      <w:r>
        <w:rPr>
          <w:rFonts w:hint="eastAsia" w:asciiTheme="minorEastAsia" w:hAnsiTheme="minorEastAsia"/>
          <w:szCs w:val="21"/>
        </w:rPr>
        <w:t>、0.3000g/</w:t>
      </w:r>
      <w:r>
        <w:rPr>
          <w:rFonts w:asciiTheme="minorEastAsia" w:hAnsiTheme="minorEastAsia"/>
          <w:szCs w:val="21"/>
        </w:rPr>
        <w:t>L</w:t>
      </w:r>
      <w:r>
        <w:rPr>
          <w:rFonts w:hint="eastAsia" w:asciiTheme="minorEastAsia" w:hAnsiTheme="minorEastAsia"/>
          <w:szCs w:val="21"/>
        </w:rPr>
        <w:t>、0.4000g/</w:t>
      </w:r>
      <w:r>
        <w:rPr>
          <w:rFonts w:asciiTheme="minorEastAsia" w:hAnsiTheme="minorEastAsia"/>
          <w:szCs w:val="21"/>
        </w:rPr>
        <w:t>L</w:t>
      </w:r>
      <w:r>
        <w:rPr>
          <w:rFonts w:hint="eastAsia" w:asciiTheme="minorEastAsia" w:hAnsiTheme="minorEastAsia"/>
          <w:szCs w:val="21"/>
        </w:rPr>
        <w:t>、0.5000g/</w:t>
      </w:r>
      <w:r>
        <w:rPr>
          <w:rFonts w:asciiTheme="minorEastAsia" w:hAnsiTheme="minorEastAsia"/>
          <w:szCs w:val="21"/>
        </w:rPr>
        <w:t>L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浓度的</w:t>
      </w:r>
      <w:r>
        <w:rPr>
          <w:rFonts w:hint="eastAsia" w:ascii="Times New Roman" w:hAnsi="Times New Roman" w:cs="Times New Roman"/>
          <w:bCs/>
          <w:color w:val="000000"/>
          <w:sz w:val="24"/>
          <w:szCs w:val="24"/>
        </w:rPr>
        <w:t>唾液酸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溶液，唾液酸标样，分别测定峰面积，以含量对峰面积作图得标准曲线。此标准曲线线性良好，线性方程为y = </w:t>
      </w:r>
      <w:r>
        <w:rPr>
          <w:rFonts w:hint="eastAsia" w:ascii="Times New Roman" w:hAnsi="Times New Roman" w:cs="Times New Roman"/>
          <w:bCs/>
          <w:color w:val="000000"/>
          <w:sz w:val="24"/>
          <w:szCs w:val="24"/>
        </w:rPr>
        <w:t>9333.2346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x + </w:t>
      </w:r>
      <w:r>
        <w:rPr>
          <w:rFonts w:hint="eastAsia" w:ascii="Times New Roman" w:hAnsi="Times New Roman" w:cs="Times New Roman"/>
          <w:bCs/>
          <w:color w:val="000000"/>
          <w:sz w:val="24"/>
          <w:szCs w:val="24"/>
        </w:rPr>
        <w:t>51.8656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，r</w:t>
      </w:r>
      <w:r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t xml:space="preserve"> 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为1.0000, 其中x为色谱峰面积(mAU•s)，y为唾液酸质量浓度(</w:t>
      </w:r>
      <w:r>
        <w:rPr>
          <w:rFonts w:hint="eastAsia" w:asciiTheme="minorEastAsia" w:hAnsiTheme="minorEastAsia"/>
          <w:szCs w:val="21"/>
        </w:rPr>
        <w:t>g/</w:t>
      </w:r>
      <w:r>
        <w:rPr>
          <w:rFonts w:asciiTheme="minorEastAsia" w:hAnsiTheme="minorEastAsia"/>
          <w:szCs w:val="21"/>
        </w:rPr>
        <w:t>L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)。</w:t>
      </w:r>
    </w:p>
    <w:p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3.2回收率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取</w:t>
      </w: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个样品，添加标准溶液于样品溶液中，进行样品处理，所得结果见表1：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>
      <w:pPr>
        <w:spacing w:before="156" w:beforeLines="50" w:after="156" w:afterLines="50"/>
        <w:ind w:firstLine="480" w:firstLineChars="20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表1 样品加标回收率</w:t>
      </w:r>
    </w:p>
    <w:tbl>
      <w:tblPr>
        <w:tblStyle w:val="8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2109"/>
        <w:gridCol w:w="2109"/>
        <w:gridCol w:w="21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空白对照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加标1号溶液</w:t>
            </w:r>
          </w:p>
        </w:tc>
        <w:tc>
          <w:tcPr>
            <w:tcW w:w="2333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加标2号溶液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称样量（g）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50.7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50.7</w:t>
            </w:r>
          </w:p>
        </w:tc>
        <w:tc>
          <w:tcPr>
            <w:tcW w:w="2333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50.3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加标量（ng）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0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21.1</w:t>
            </w:r>
          </w:p>
        </w:tc>
        <w:tc>
          <w:tcPr>
            <w:tcW w:w="2333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35.6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峰面积（%）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2602.084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4413.641</w:t>
            </w:r>
          </w:p>
        </w:tc>
        <w:tc>
          <w:tcPr>
            <w:tcW w:w="2333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5715.121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稀释倍数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100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100</w:t>
            </w:r>
          </w:p>
        </w:tc>
        <w:tc>
          <w:tcPr>
            <w:tcW w:w="2333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含量结果（%）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57.43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69.14</w:t>
            </w:r>
          </w:p>
        </w:tc>
        <w:tc>
          <w:tcPr>
            <w:tcW w:w="2333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74.95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回收率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/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98.77</w:t>
            </w:r>
          </w:p>
        </w:tc>
        <w:tc>
          <w:tcPr>
            <w:tcW w:w="2333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99.93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平均回收率</w:t>
            </w:r>
          </w:p>
        </w:tc>
        <w:tc>
          <w:tcPr>
            <w:tcW w:w="2332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/</w:t>
            </w:r>
          </w:p>
        </w:tc>
        <w:tc>
          <w:tcPr>
            <w:tcW w:w="4665" w:type="dxa"/>
            <w:gridSpan w:val="2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99.35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由表1可知，在样品中进行加标实验平均回收率</w:t>
      </w:r>
      <w:r>
        <w:rPr>
          <w:rFonts w:hint="eastAsia" w:ascii="Times New Roman" w:hAnsi="Times New Roman" w:cs="Times New Roman"/>
          <w:sz w:val="24"/>
          <w:szCs w:val="24"/>
        </w:rPr>
        <w:t>为</w:t>
      </w:r>
      <w:r>
        <w:rPr>
          <w:rFonts w:ascii="Times New Roman" w:hAnsi="Times New Roman" w:cs="Times New Roman"/>
          <w:sz w:val="24"/>
          <w:szCs w:val="24"/>
        </w:rPr>
        <w:t>99.3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%，样品回收率较好。</w:t>
      </w:r>
    </w:p>
    <w:p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 重复性</w:t>
      </w:r>
    </w:p>
    <w:p>
      <w:pPr>
        <w:spacing w:before="156" w:beforeLines="50" w:after="156" w:afterLines="50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选取一批样品不同时间检测其含量。结果如表2：</w:t>
      </w:r>
    </w:p>
    <w:p>
      <w:pPr>
        <w:spacing w:before="156" w:beforeLines="50" w:after="156" w:afterLines="50"/>
        <w:ind w:firstLine="480" w:firstLineChars="20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表2 样品重复稳定性</w:t>
      </w:r>
    </w:p>
    <w:tbl>
      <w:tblPr>
        <w:tblStyle w:val="7"/>
        <w:tblW w:w="5157" w:type="pc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381"/>
        <w:gridCol w:w="832"/>
        <w:gridCol w:w="1100"/>
        <w:gridCol w:w="941"/>
        <w:gridCol w:w="852"/>
        <w:gridCol w:w="1100"/>
        <w:gridCol w:w="818"/>
        <w:gridCol w:w="9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样品名称</w:t>
            </w:r>
          </w:p>
        </w:tc>
        <w:tc>
          <w:tcPr>
            <w:tcW w:w="8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使用标曲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峰面积</w:t>
            </w:r>
          </w:p>
        </w:tc>
        <w:tc>
          <w:tcPr>
            <w:tcW w:w="6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样品浓度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hint="eastAsia" w:asciiTheme="minorEastAsia" w:hAnsiTheme="minorEastAsia"/>
                <w:szCs w:val="21"/>
              </w:rPr>
              <w:t>g/</w:t>
            </w:r>
            <w:r>
              <w:rPr>
                <w:rFonts w:asciiTheme="minorEastAsia" w:hAnsiTheme="minorEastAsia"/>
                <w:szCs w:val="21"/>
              </w:rPr>
              <w:t>L</w:t>
            </w: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5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稀释倍数</w:t>
            </w:r>
          </w:p>
        </w:tc>
        <w:tc>
          <w:tcPr>
            <w:tcW w:w="4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样品质量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6"/>
                <w:szCs w:val="16"/>
              </w:rPr>
              <w:t>mg</w:t>
            </w: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6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含量</w:t>
            </w:r>
            <w:r>
              <w:rPr>
                <w:rFonts w:hint="eastAsia"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（%）</w:t>
            </w:r>
          </w:p>
        </w:tc>
        <w:tc>
          <w:tcPr>
            <w:tcW w:w="4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平均值</w:t>
            </w:r>
          </w:p>
        </w:tc>
        <w:tc>
          <w:tcPr>
            <w:tcW w:w="5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bCs/>
                <w:color w:val="000000"/>
                <w:kern w:val="0"/>
                <w:sz w:val="16"/>
                <w:szCs w:val="16"/>
              </w:rPr>
              <w:t>相对偏差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S1</w:t>
            </w:r>
          </w:p>
        </w:tc>
        <w:tc>
          <w:tcPr>
            <w:tcW w:w="80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 xml:space="preserve">y = 9,333.2346 x + 51.8656 </w:t>
            </w: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2861.081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0.301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98.36%</w:t>
            </w:r>
          </w:p>
        </w:tc>
        <w:tc>
          <w:tcPr>
            <w:tcW w:w="47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98.38%</w:t>
            </w:r>
          </w:p>
        </w:tc>
        <w:tc>
          <w:tcPr>
            <w:tcW w:w="55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0.098%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S2</w:t>
            </w:r>
          </w:p>
        </w:tc>
        <w:tc>
          <w:tcPr>
            <w:tcW w:w="8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2864.369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0.3013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153.2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98.35%</w:t>
            </w:r>
          </w:p>
        </w:tc>
        <w:tc>
          <w:tcPr>
            <w:tcW w:w="47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S3</w:t>
            </w:r>
          </w:p>
        </w:tc>
        <w:tc>
          <w:tcPr>
            <w:tcW w:w="8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2864.011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0.3013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153.4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98.21%</w:t>
            </w:r>
          </w:p>
        </w:tc>
        <w:tc>
          <w:tcPr>
            <w:tcW w:w="47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S4</w:t>
            </w:r>
          </w:p>
        </w:tc>
        <w:tc>
          <w:tcPr>
            <w:tcW w:w="8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2866.329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0.3016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153.2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98.42%</w:t>
            </w:r>
          </w:p>
        </w:tc>
        <w:tc>
          <w:tcPr>
            <w:tcW w:w="47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S5</w:t>
            </w:r>
          </w:p>
        </w:tc>
        <w:tc>
          <w:tcPr>
            <w:tcW w:w="8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2869.623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0.3019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153.3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98.47%</w:t>
            </w:r>
          </w:p>
        </w:tc>
        <w:tc>
          <w:tcPr>
            <w:tcW w:w="47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3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S6</w:t>
            </w:r>
          </w:p>
        </w:tc>
        <w:tc>
          <w:tcPr>
            <w:tcW w:w="8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2867.939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0.3017</w:t>
            </w:r>
          </w:p>
        </w:tc>
        <w:tc>
          <w:tcPr>
            <w:tcW w:w="5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4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153.2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98.47%</w:t>
            </w:r>
          </w:p>
        </w:tc>
        <w:tc>
          <w:tcPr>
            <w:tcW w:w="47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由表2可知，在不同时间对同一样品进行含量检测，样品RSD值为0.</w:t>
      </w:r>
      <w:r>
        <w:rPr>
          <w:rFonts w:hint="eastAsia" w:ascii="Times New Roman" w:hAnsi="Times New Roman" w:cs="Times New Roman"/>
          <w:sz w:val="24"/>
          <w:szCs w:val="24"/>
        </w:rPr>
        <w:t>098</w:t>
      </w:r>
      <w:r>
        <w:rPr>
          <w:rFonts w:ascii="Times New Roman" w:hAnsi="Times New Roman" w:cs="Times New Roman"/>
          <w:sz w:val="24"/>
          <w:szCs w:val="24"/>
        </w:rPr>
        <w:t>%，说明该方法重复稳定性好。</w:t>
      </w:r>
    </w:p>
    <w:p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3.4中间精密度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选择同批号的三份样品，每个样品测定2次，由不同分析人员不同时间测定，比较测定结果，判断中间精密度。</w:t>
      </w:r>
      <w:r>
        <w:rPr>
          <w:rFonts w:ascii="Times New Roman" w:hAnsi="Times New Roman" w:cs="Times New Roman"/>
          <w:sz w:val="24"/>
          <w:szCs w:val="24"/>
        </w:rPr>
        <w:t>结果如表3：</w:t>
      </w:r>
    </w:p>
    <w:p>
      <w:pPr>
        <w:spacing w:before="156" w:beforeLines="50" w:after="156" w:afterLines="50"/>
        <w:ind w:firstLine="480" w:firstLineChars="20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表3 样品中间精密度</w:t>
      </w:r>
    </w:p>
    <w:tbl>
      <w:tblPr>
        <w:tblStyle w:val="7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379"/>
        <w:gridCol w:w="946"/>
        <w:gridCol w:w="929"/>
        <w:gridCol w:w="833"/>
        <w:gridCol w:w="1062"/>
        <w:gridCol w:w="964"/>
        <w:gridCol w:w="692"/>
        <w:gridCol w:w="8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样品名称</w:t>
            </w:r>
          </w:p>
        </w:tc>
        <w:tc>
          <w:tcPr>
            <w:tcW w:w="83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使用标曲</w:t>
            </w:r>
          </w:p>
        </w:tc>
        <w:tc>
          <w:tcPr>
            <w:tcW w:w="5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峰面积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样品浓度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hint="eastAsia" w:asciiTheme="minorEastAsia" w:hAnsiTheme="minorEastAsia"/>
                <w:szCs w:val="21"/>
              </w:rPr>
              <w:t>g/</w:t>
            </w:r>
            <w:r>
              <w:rPr>
                <w:rFonts w:asciiTheme="minorEastAsia" w:hAnsiTheme="minorEastAsia"/>
                <w:szCs w:val="21"/>
              </w:rPr>
              <w:t>L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稀释倍数</w:t>
            </w:r>
          </w:p>
        </w:tc>
        <w:tc>
          <w:tcPr>
            <w:tcW w:w="6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样品质量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mg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5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含量（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%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平均值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16"/>
                <w:szCs w:val="16"/>
              </w:rPr>
              <w:t>相对偏差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S1</w:t>
            </w:r>
          </w:p>
        </w:tc>
        <w:tc>
          <w:tcPr>
            <w:tcW w:w="831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y = 9333.2346 x + 51.8656</w:t>
            </w:r>
          </w:p>
        </w:tc>
        <w:tc>
          <w:tcPr>
            <w:tcW w:w="5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2865.9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 xml:space="preserve">0.3015 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153.1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98.47%</w:t>
            </w:r>
          </w:p>
        </w:tc>
        <w:tc>
          <w:tcPr>
            <w:tcW w:w="417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98.43%</w:t>
            </w:r>
          </w:p>
        </w:tc>
        <w:tc>
          <w:tcPr>
            <w:tcW w:w="502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0.04%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S2</w:t>
            </w:r>
          </w:p>
        </w:tc>
        <w:tc>
          <w:tcPr>
            <w:tcW w:w="83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2871.951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 xml:space="preserve">0.3022 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153.5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98.42%</w:t>
            </w:r>
          </w:p>
        </w:tc>
        <w:tc>
          <w:tcPr>
            <w:tcW w:w="417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2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S3</w:t>
            </w:r>
          </w:p>
        </w:tc>
        <w:tc>
          <w:tcPr>
            <w:tcW w:w="83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2862.534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 xml:space="preserve">0.3011 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153.1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98.35%</w:t>
            </w:r>
          </w:p>
        </w:tc>
        <w:tc>
          <w:tcPr>
            <w:tcW w:w="417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2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S4</w:t>
            </w:r>
          </w:p>
        </w:tc>
        <w:tc>
          <w:tcPr>
            <w:tcW w:w="83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2861.766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 xml:space="preserve">0.3011 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152.9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98.45%</w:t>
            </w:r>
          </w:p>
        </w:tc>
        <w:tc>
          <w:tcPr>
            <w:tcW w:w="417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2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S5</w:t>
            </w:r>
          </w:p>
        </w:tc>
        <w:tc>
          <w:tcPr>
            <w:tcW w:w="83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2860.011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 xml:space="preserve">0.3009 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152.8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98.45%</w:t>
            </w:r>
          </w:p>
        </w:tc>
        <w:tc>
          <w:tcPr>
            <w:tcW w:w="417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2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3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S6</w:t>
            </w:r>
          </w:p>
        </w:tc>
        <w:tc>
          <w:tcPr>
            <w:tcW w:w="83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2870.537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 xml:space="preserve">0.3020 </w:t>
            </w:r>
          </w:p>
        </w:tc>
        <w:tc>
          <w:tcPr>
            <w:tcW w:w="5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500</w:t>
            </w:r>
          </w:p>
        </w:tc>
        <w:tc>
          <w:tcPr>
            <w:tcW w:w="6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153.4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98.44%</w:t>
            </w:r>
          </w:p>
        </w:tc>
        <w:tc>
          <w:tcPr>
            <w:tcW w:w="417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02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不同的试验人员在不同时间检测样品中唾液酸含量，中间精密度RSD值为0.28%，中间精密度良好。</w:t>
      </w:r>
    </w:p>
    <w:p>
      <w:pPr>
        <w:spacing w:line="360" w:lineRule="auto"/>
        <w:ind w:left="482" w:hanging="482" w:hanging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结论</w:t>
      </w:r>
    </w:p>
    <w:p>
      <w:pPr>
        <w:ind w:firstLine="0" w:firstLineChars="0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Times New Roman" w:hAnsi="Times New Roman" w:cs="Times New Roman"/>
          <w:sz w:val="24"/>
          <w:szCs w:val="24"/>
        </w:rPr>
        <w:t>应用团体标准《化妆品用原料</w:t>
      </w:r>
      <w:r>
        <w:rPr>
          <w:rFonts w:ascii="Times New Roman" w:hAnsi="Times New Roman" w:cs="Times New Roman"/>
          <w:sz w:val="24"/>
          <w:szCs w:val="24"/>
        </w:rPr>
        <w:t> N-</w:t>
      </w:r>
      <w:r>
        <w:rPr>
          <w:rFonts w:hint="eastAsia" w:ascii="Times New Roman" w:hAnsi="Times New Roman" w:cs="Times New Roman"/>
          <w:sz w:val="24"/>
          <w:szCs w:val="24"/>
        </w:rPr>
        <w:t>乙酰神经氨酸》</w:t>
      </w:r>
      <w:r>
        <w:rPr>
          <w:rFonts w:ascii="Times New Roman" w:hAnsi="Times New Roman" w:cs="Times New Roman"/>
          <w:sz w:val="24"/>
          <w:szCs w:val="24"/>
        </w:rPr>
        <w:t>6.2 N-</w:t>
      </w:r>
      <w:r>
        <w:rPr>
          <w:rFonts w:hint="eastAsia" w:ascii="Times New Roman" w:hAnsi="Times New Roman" w:cs="Times New Roman"/>
          <w:sz w:val="24"/>
          <w:szCs w:val="24"/>
        </w:rPr>
        <w:t>乙酰神经氨酸含量方法检测样品（适用样品为满足“卫计委关于乳木果油等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</w:rPr>
        <w:t>种新食品原料的公告</w:t>
      </w:r>
      <w:r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hint="eastAsia" w:ascii="Times New Roman" w:hAnsi="Times New Roman" w:cs="Times New Roman"/>
          <w:sz w:val="24"/>
          <w:szCs w:val="24"/>
        </w:rPr>
        <w:t>年第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>号”质量标准要求的</w:t>
      </w:r>
      <w:r>
        <w:rPr>
          <w:rFonts w:ascii="Times New Roman" w:hAnsi="Times New Roman" w:cs="Times New Roman"/>
          <w:sz w:val="24"/>
          <w:szCs w:val="24"/>
        </w:rPr>
        <w:t>N-</w:t>
      </w:r>
      <w:r>
        <w:rPr>
          <w:rFonts w:hint="eastAsia" w:ascii="Times New Roman" w:hAnsi="Times New Roman" w:cs="Times New Roman"/>
          <w:sz w:val="24"/>
          <w:szCs w:val="24"/>
        </w:rPr>
        <w:t>乙酰神经氨酸样品）</w:t>
      </w:r>
      <w:r>
        <w:rPr>
          <w:rFonts w:ascii="Times New Roman" w:hAnsi="Times New Roman" w:cs="Times New Roman"/>
          <w:sz w:val="24"/>
          <w:szCs w:val="24"/>
        </w:rPr>
        <w:t>N-</w:t>
      </w:r>
      <w:r>
        <w:rPr>
          <w:rFonts w:hint="eastAsia" w:ascii="Times New Roman" w:hAnsi="Times New Roman" w:cs="Times New Roman"/>
          <w:sz w:val="24"/>
          <w:szCs w:val="24"/>
        </w:rPr>
        <w:t>乙酰神经氨酸含量，该方法标准曲线线性良好；加标回收率在</w:t>
      </w:r>
      <w:r>
        <w:rPr>
          <w:rFonts w:ascii="Times New Roman" w:hAnsi="Times New Roman" w:cs="Times New Roman"/>
          <w:sz w:val="24"/>
          <w:szCs w:val="24"/>
        </w:rPr>
        <w:t>99.3%-100.4%</w:t>
      </w:r>
      <w:r>
        <w:rPr>
          <w:rFonts w:hint="eastAsia" w:ascii="Times New Roman" w:hAnsi="Times New Roman" w:cs="Times New Roman"/>
          <w:sz w:val="24"/>
          <w:szCs w:val="24"/>
        </w:rPr>
        <w:t>之间；对同一样品不同时间进行检测</w:t>
      </w:r>
      <w:r>
        <w:rPr>
          <w:rFonts w:ascii="Times New Roman" w:hAnsi="Times New Roman" w:cs="Times New Roman"/>
          <w:sz w:val="24"/>
          <w:szCs w:val="24"/>
        </w:rPr>
        <w:t>RSD</w:t>
      </w:r>
      <w:r>
        <w:rPr>
          <w:rFonts w:hint="eastAsia" w:ascii="Times New Roman" w:hAnsi="Times New Roman" w:cs="Times New Roman"/>
          <w:sz w:val="24"/>
          <w:szCs w:val="24"/>
        </w:rPr>
        <w:t>值为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0.179</w:t>
      </w:r>
      <w:r>
        <w:rPr>
          <w:rFonts w:ascii="Times New Roman" w:hAnsi="Times New Roman" w:cs="Times New Roman"/>
          <w:sz w:val="24"/>
          <w:szCs w:val="24"/>
        </w:rPr>
        <w:t>%</w:t>
      </w:r>
      <w:r>
        <w:rPr>
          <w:rFonts w:hint="eastAsia" w:ascii="Times New Roman" w:hAnsi="Times New Roman" w:cs="Times New Roman"/>
          <w:sz w:val="24"/>
          <w:szCs w:val="24"/>
        </w:rPr>
        <w:t>；不同的试验人员在不同时间检测样品中唾液酸含量，中间精密度</w:t>
      </w:r>
      <w:r>
        <w:rPr>
          <w:rFonts w:ascii="Times New Roman" w:hAnsi="Times New Roman" w:cs="Times New Roman"/>
          <w:sz w:val="24"/>
          <w:szCs w:val="24"/>
        </w:rPr>
        <w:t>RSD</w:t>
      </w:r>
      <w:r>
        <w:rPr>
          <w:rFonts w:hint="eastAsia" w:ascii="Times New Roman" w:hAnsi="Times New Roman" w:cs="Times New Roman"/>
          <w:sz w:val="24"/>
          <w:szCs w:val="24"/>
        </w:rPr>
        <w:t>值为</w:t>
      </w:r>
      <w:r>
        <w:rPr>
          <w:rFonts w:ascii="Times New Roman" w:hAnsi="Times New Roman" w:cs="Times New Roman"/>
          <w:sz w:val="24"/>
          <w:szCs w:val="24"/>
        </w:rPr>
        <w:t>0.28%</w:t>
      </w:r>
      <w:r>
        <w:rPr>
          <w:rFonts w:hint="eastAsia" w:ascii="Times New Roman" w:hAnsi="Times New Roman" w:cs="Times New Roman"/>
          <w:sz w:val="24"/>
          <w:szCs w:val="24"/>
        </w:rPr>
        <w:t>。以上数据说明团体标准《化妆品用原料</w:t>
      </w:r>
      <w:r>
        <w:rPr>
          <w:rFonts w:ascii="Times New Roman" w:hAnsi="Times New Roman" w:cs="Times New Roman"/>
          <w:sz w:val="24"/>
          <w:szCs w:val="24"/>
        </w:rPr>
        <w:t> N-</w:t>
      </w:r>
      <w:r>
        <w:rPr>
          <w:rFonts w:hint="eastAsia" w:ascii="Times New Roman" w:hAnsi="Times New Roman" w:cs="Times New Roman"/>
          <w:sz w:val="24"/>
          <w:szCs w:val="24"/>
        </w:rPr>
        <w:t>乙酰神经氨酸》</w:t>
      </w:r>
      <w:r>
        <w:rPr>
          <w:rFonts w:ascii="Times New Roman" w:hAnsi="Times New Roman" w:cs="Times New Roman"/>
          <w:sz w:val="24"/>
          <w:szCs w:val="24"/>
        </w:rPr>
        <w:t>6.2 N-</w:t>
      </w:r>
      <w:r>
        <w:rPr>
          <w:rFonts w:hint="eastAsia" w:ascii="Times New Roman" w:hAnsi="Times New Roman" w:cs="Times New Roman"/>
          <w:sz w:val="24"/>
          <w:szCs w:val="24"/>
        </w:rPr>
        <w:t>乙酰神经氨酸含量方法可以准确检测样品中（适用样品为满足“卫计委关于乳木果油等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</w:rPr>
        <w:t>种新食品原料的公告</w:t>
      </w:r>
      <w:r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hint="eastAsia" w:ascii="Times New Roman" w:hAnsi="Times New Roman" w:cs="Times New Roman"/>
          <w:sz w:val="24"/>
          <w:szCs w:val="24"/>
        </w:rPr>
        <w:t>年第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>号”质量标准要求的</w:t>
      </w:r>
      <w:r>
        <w:rPr>
          <w:rFonts w:ascii="Times New Roman" w:hAnsi="Times New Roman" w:cs="Times New Roman"/>
          <w:sz w:val="24"/>
          <w:szCs w:val="24"/>
        </w:rPr>
        <w:t>N-</w:t>
      </w:r>
      <w:r>
        <w:rPr>
          <w:rFonts w:hint="eastAsia" w:ascii="Times New Roman" w:hAnsi="Times New Roman" w:cs="Times New Roman"/>
          <w:sz w:val="24"/>
          <w:szCs w:val="24"/>
        </w:rPr>
        <w:t>乙酰神经氨酸样品）</w:t>
      </w:r>
      <w:r>
        <w:rPr>
          <w:rFonts w:ascii="Times New Roman" w:hAnsi="Times New Roman" w:cs="Times New Roman"/>
          <w:sz w:val="24"/>
          <w:szCs w:val="24"/>
        </w:rPr>
        <w:t>N-</w:t>
      </w:r>
      <w:r>
        <w:rPr>
          <w:rFonts w:hint="eastAsia" w:ascii="Times New Roman" w:hAnsi="Times New Roman" w:cs="Times New Roman"/>
          <w:sz w:val="24"/>
          <w:szCs w:val="24"/>
        </w:rPr>
        <w:t>乙酰神经氨酸的含量。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B1238F"/>
    <w:multiLevelType w:val="multilevel"/>
    <w:tmpl w:val="6CB1238F"/>
    <w:lvl w:ilvl="0" w:tentative="0">
      <w:start w:val="1"/>
      <w:numFmt w:val="japaneseCounting"/>
      <w:lvlText w:val="%1、"/>
      <w:lvlJc w:val="left"/>
      <w:pPr>
        <w:ind w:left="460" w:hanging="4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xOTE0NzFmZmNjYTVjODY0NTJmNTMzMDJiMjMwOTkifQ=="/>
  </w:docVars>
  <w:rsids>
    <w:rsidRoot w:val="00D23E79"/>
    <w:rsid w:val="000116C5"/>
    <w:rsid w:val="00034F0A"/>
    <w:rsid w:val="0007455C"/>
    <w:rsid w:val="000B1586"/>
    <w:rsid w:val="000F7DE7"/>
    <w:rsid w:val="001317C4"/>
    <w:rsid w:val="00152FDB"/>
    <w:rsid w:val="00157297"/>
    <w:rsid w:val="001C7271"/>
    <w:rsid w:val="0020506A"/>
    <w:rsid w:val="00226DAF"/>
    <w:rsid w:val="00241707"/>
    <w:rsid w:val="002506BB"/>
    <w:rsid w:val="00262E83"/>
    <w:rsid w:val="003272E3"/>
    <w:rsid w:val="003F6609"/>
    <w:rsid w:val="00446B41"/>
    <w:rsid w:val="004A0555"/>
    <w:rsid w:val="004F2C81"/>
    <w:rsid w:val="005859E9"/>
    <w:rsid w:val="00597B94"/>
    <w:rsid w:val="006168F2"/>
    <w:rsid w:val="006A217B"/>
    <w:rsid w:val="006E0603"/>
    <w:rsid w:val="0073726A"/>
    <w:rsid w:val="00751F8F"/>
    <w:rsid w:val="007533D5"/>
    <w:rsid w:val="007E06B3"/>
    <w:rsid w:val="007E6CC9"/>
    <w:rsid w:val="0083193A"/>
    <w:rsid w:val="0088187F"/>
    <w:rsid w:val="008C75B4"/>
    <w:rsid w:val="008D13BA"/>
    <w:rsid w:val="008E27F3"/>
    <w:rsid w:val="009202BB"/>
    <w:rsid w:val="009C1FF9"/>
    <w:rsid w:val="009D27B1"/>
    <w:rsid w:val="00A47D3E"/>
    <w:rsid w:val="00AC2EFB"/>
    <w:rsid w:val="00B7673F"/>
    <w:rsid w:val="00B84C3A"/>
    <w:rsid w:val="00C14F78"/>
    <w:rsid w:val="00C40310"/>
    <w:rsid w:val="00C52907"/>
    <w:rsid w:val="00D23E79"/>
    <w:rsid w:val="00DD2D20"/>
    <w:rsid w:val="00DE1C45"/>
    <w:rsid w:val="00E21B7C"/>
    <w:rsid w:val="00E22D16"/>
    <w:rsid w:val="00E719EE"/>
    <w:rsid w:val="00EC0FA1"/>
    <w:rsid w:val="00F17238"/>
    <w:rsid w:val="00F56392"/>
    <w:rsid w:val="00F96B48"/>
    <w:rsid w:val="00FB3F81"/>
    <w:rsid w:val="00FE2FAF"/>
    <w:rsid w:val="00FF3F1E"/>
    <w:rsid w:val="3C5E73C0"/>
    <w:rsid w:val="494E695A"/>
    <w:rsid w:val="4A85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段"/>
    <w:link w:val="13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3">
    <w:name w:val="段 Char"/>
    <w:basedOn w:val="9"/>
    <w:link w:val="12"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14">
    <w:name w:val="页眉 Char"/>
    <w:basedOn w:val="9"/>
    <w:link w:val="5"/>
    <w:uiPriority w:val="99"/>
    <w:rPr>
      <w:sz w:val="18"/>
      <w:szCs w:val="18"/>
    </w:rPr>
  </w:style>
  <w:style w:type="character" w:customStyle="1" w:styleId="15">
    <w:name w:val="页脚 Char"/>
    <w:basedOn w:val="9"/>
    <w:link w:val="4"/>
    <w:uiPriority w:val="99"/>
    <w:rPr>
      <w:sz w:val="18"/>
      <w:szCs w:val="18"/>
    </w:rPr>
  </w:style>
  <w:style w:type="character" w:customStyle="1" w:styleId="16">
    <w:name w:val="批注文字 Char"/>
    <w:basedOn w:val="9"/>
    <w:link w:val="2"/>
    <w:semiHidden/>
    <w:uiPriority w:val="99"/>
  </w:style>
  <w:style w:type="character" w:customStyle="1" w:styleId="17">
    <w:name w:val="批注主题 Char"/>
    <w:basedOn w:val="16"/>
    <w:link w:val="6"/>
    <w:semiHidden/>
    <w:uiPriority w:val="99"/>
    <w:rPr>
      <w:b/>
      <w:bCs/>
    </w:rPr>
  </w:style>
  <w:style w:type="character" w:customStyle="1" w:styleId="18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9">
    <w:name w:val="fontstyle01"/>
    <w:basedOn w:val="9"/>
    <w:uiPriority w:val="0"/>
    <w:rPr>
      <w:rFonts w:hint="eastAsia" w:ascii="宋体" w:hAnsi="宋体" w:eastAsia="宋体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5</Pages>
  <Words>3483</Words>
  <Characters>4803</Characters>
  <Lines>37</Lines>
  <Paragraphs>10</Paragraphs>
  <TotalTime>7</TotalTime>
  <ScaleCrop>false</ScaleCrop>
  <LinksUpToDate>false</LinksUpToDate>
  <CharactersWithSpaces>4952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2022-05-30T08:03:00Z</dcterms:created>
  <dc:creator>LBL</dc:creator>
  <cp:lastModifiedBy>张鹏</cp:lastModifiedBy>
  <dcterms:modified xsi:type="dcterms:W3CDTF">2022-08-10T08:55:21Z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04ABFC01A9954198A4A24F9B9277B477</vt:lpwstr>
  </property>
</Properties>
</file>